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采购货物名称:</w:t>
      </w:r>
      <w:r>
        <w:rPr>
          <w:sz w:val="32"/>
          <w:szCs w:val="32"/>
        </w:rPr>
        <w:t xml:space="preserve"> </w:t>
      </w:r>
      <w:r>
        <w:rPr>
          <w:rFonts w:hint="eastAsia"/>
          <w:b/>
          <w:sz w:val="32"/>
          <w:szCs w:val="32"/>
        </w:rPr>
        <w:t>负载均衡设备</w:t>
      </w:r>
    </w:p>
    <w:p>
      <w:pPr>
        <w:spacing w:after="120" w:afterLines="50"/>
        <w:ind w:left="601" w:hanging="601"/>
        <w:rPr>
          <w:rFonts w:ascii="宋体" w:hAnsi="宋体"/>
        </w:rPr>
      </w:pPr>
    </w:p>
    <w:p>
      <w:pPr>
        <w:numPr>
          <w:ilvl w:val="0"/>
          <w:numId w:val="1"/>
        </w:numPr>
        <w:spacing w:line="360" w:lineRule="auto"/>
        <w:rPr>
          <w:b/>
          <w:sz w:val="24"/>
        </w:rPr>
      </w:pPr>
      <w:r>
        <w:rPr>
          <w:rFonts w:hint="eastAsia"/>
          <w:b/>
          <w:sz w:val="24"/>
        </w:rPr>
        <w:t>工作条件：</w:t>
      </w:r>
    </w:p>
    <w:p>
      <w:pPr>
        <w:spacing w:line="360" w:lineRule="auto"/>
        <w:rPr>
          <w:rFonts w:ascii="宋体" w:hAnsi="宋体"/>
          <w:sz w:val="24"/>
        </w:rPr>
      </w:pPr>
      <w:r>
        <w:rPr>
          <w:rFonts w:hint="eastAsia"/>
          <w:sz w:val="24"/>
        </w:rPr>
        <w:t>1</w:t>
      </w:r>
      <w:r>
        <w:rPr>
          <w:sz w:val="24"/>
        </w:rPr>
        <w:t xml:space="preserve">.1 </w:t>
      </w:r>
      <w:r>
        <w:rPr>
          <w:rFonts w:hint="eastAsia"/>
          <w:sz w:val="24"/>
        </w:rPr>
        <w:t>运输存储环境：</w:t>
      </w:r>
      <w:r>
        <w:rPr>
          <w:rFonts w:hint="eastAsia" w:ascii="宋体" w:hAnsi="宋体"/>
          <w:sz w:val="24"/>
        </w:rPr>
        <w:t>气温摄氏</w:t>
      </w:r>
      <w:r>
        <w:rPr>
          <w:rFonts w:ascii="宋体" w:hAnsi="宋体"/>
          <w:b/>
          <w:sz w:val="24"/>
        </w:rPr>
        <w:t>-</w:t>
      </w:r>
      <w:r>
        <w:rPr>
          <w:rFonts w:ascii="宋体" w:hAnsi="宋体"/>
          <w:sz w:val="24"/>
        </w:rPr>
        <w:t>40</w:t>
      </w:r>
      <w:r>
        <w:rPr>
          <w:rFonts w:hint="eastAsia" w:ascii="宋体" w:hAnsi="宋体"/>
          <w:sz w:val="24"/>
        </w:rPr>
        <w:t>℃～＋</w:t>
      </w:r>
      <w:r>
        <w:rPr>
          <w:rFonts w:ascii="宋体" w:hAnsi="宋体"/>
          <w:sz w:val="24"/>
        </w:rPr>
        <w:t>50</w:t>
      </w:r>
      <w:r>
        <w:rPr>
          <w:rFonts w:hint="eastAsia" w:ascii="宋体" w:hAnsi="宋体"/>
          <w:sz w:val="24"/>
        </w:rPr>
        <w:t>℃和相对湿度为</w:t>
      </w:r>
      <w:r>
        <w:rPr>
          <w:rFonts w:ascii="宋体" w:hAnsi="宋体"/>
          <w:sz w:val="24"/>
        </w:rPr>
        <w:t>90</w:t>
      </w:r>
      <w:r>
        <w:rPr>
          <w:rFonts w:hint="eastAsia" w:ascii="宋体" w:hAnsi="宋体"/>
          <w:sz w:val="24"/>
        </w:rPr>
        <w:t>％</w:t>
      </w:r>
    </w:p>
    <w:p>
      <w:pPr>
        <w:spacing w:line="360" w:lineRule="auto"/>
        <w:rPr>
          <w:sz w:val="24"/>
        </w:rPr>
      </w:pPr>
      <w:r>
        <w:rPr>
          <w:rFonts w:hint="eastAsia"/>
          <w:sz w:val="24"/>
        </w:rPr>
        <w:t>1</w:t>
      </w:r>
      <w:r>
        <w:rPr>
          <w:sz w:val="24"/>
        </w:rPr>
        <w:t>.</w:t>
      </w:r>
      <w:r>
        <w:rPr>
          <w:rFonts w:hint="eastAsia"/>
          <w:sz w:val="24"/>
        </w:rPr>
        <w:t>2 连续运行环境：</w:t>
      </w:r>
      <w:r>
        <w:rPr>
          <w:rFonts w:hint="eastAsia" w:ascii="宋体" w:hAnsi="宋体"/>
          <w:sz w:val="24"/>
        </w:rPr>
        <w:t>电源</w:t>
      </w:r>
      <w:r>
        <w:rPr>
          <w:rFonts w:ascii="宋体" w:hAnsi="宋体"/>
          <w:sz w:val="24"/>
        </w:rPr>
        <w:t>220V</w:t>
      </w:r>
      <w:r>
        <w:rPr>
          <w:rFonts w:hint="eastAsia" w:ascii="宋体" w:hAnsi="宋体"/>
          <w:sz w:val="24"/>
        </w:rPr>
        <w:t>（</w:t>
      </w:r>
      <w:r>
        <w:rPr>
          <w:rFonts w:ascii="宋体" w:hAnsi="宋体"/>
          <w:sz w:val="24"/>
        </w:rPr>
        <w:sym w:font="Symbol" w:char="F0B1"/>
      </w:r>
      <w:r>
        <w:rPr>
          <w:rFonts w:ascii="宋体" w:hAnsi="宋体"/>
          <w:sz w:val="24"/>
        </w:rPr>
        <w:t>10</w:t>
      </w:r>
      <w:r>
        <w:rPr>
          <w:rFonts w:hint="eastAsia" w:ascii="宋体" w:hAnsi="宋体"/>
          <w:sz w:val="24"/>
        </w:rPr>
        <w:t>％）</w:t>
      </w:r>
      <w:r>
        <w:rPr>
          <w:rFonts w:ascii="宋体" w:hAnsi="宋体"/>
          <w:sz w:val="24"/>
        </w:rPr>
        <w:t>/50Hz</w:t>
      </w:r>
      <w:r>
        <w:rPr>
          <w:rFonts w:hint="eastAsia" w:ascii="宋体" w:hAnsi="宋体"/>
          <w:sz w:val="24"/>
        </w:rPr>
        <w:t>、气温摄氏+1</w:t>
      </w:r>
      <w:r>
        <w:rPr>
          <w:rFonts w:ascii="宋体" w:hAnsi="宋体"/>
          <w:sz w:val="24"/>
        </w:rPr>
        <w:t>5</w:t>
      </w:r>
      <w:r>
        <w:rPr>
          <w:rFonts w:hint="eastAsia" w:ascii="宋体" w:hAnsi="宋体"/>
          <w:sz w:val="24"/>
        </w:rPr>
        <w:t>℃～＋3</w:t>
      </w:r>
      <w:r>
        <w:rPr>
          <w:rFonts w:ascii="宋体" w:hAnsi="宋体"/>
          <w:sz w:val="24"/>
        </w:rPr>
        <w:t>0</w:t>
      </w:r>
      <w:r>
        <w:rPr>
          <w:rFonts w:hint="eastAsia" w:ascii="宋体" w:hAnsi="宋体"/>
          <w:sz w:val="24"/>
        </w:rPr>
        <w:t>℃和相对湿度小于</w:t>
      </w:r>
      <w:r>
        <w:rPr>
          <w:rFonts w:ascii="宋体" w:hAnsi="宋体"/>
          <w:sz w:val="24"/>
        </w:rPr>
        <w:t>8</w:t>
      </w:r>
      <w:r>
        <w:rPr>
          <w:rFonts w:hint="eastAsia" w:ascii="宋体" w:hAnsi="宋体"/>
          <w:sz w:val="24"/>
        </w:rPr>
        <w:t>0％</w:t>
      </w:r>
    </w:p>
    <w:p>
      <w:pPr>
        <w:spacing w:line="360" w:lineRule="auto"/>
        <w:rPr>
          <w:sz w:val="24"/>
        </w:rPr>
      </w:pPr>
      <w:r>
        <w:rPr>
          <w:rFonts w:hint="eastAsia"/>
          <w:sz w:val="24"/>
        </w:rPr>
        <w:t>1</w:t>
      </w:r>
      <w:r>
        <w:rPr>
          <w:sz w:val="24"/>
        </w:rPr>
        <w:t>.</w:t>
      </w:r>
      <w:r>
        <w:rPr>
          <w:rFonts w:hint="eastAsia"/>
          <w:sz w:val="24"/>
        </w:rPr>
        <w:t>3使用环境：输入电压： 110V～230V</w:t>
      </w:r>
    </w:p>
    <w:p>
      <w:pPr>
        <w:spacing w:line="360" w:lineRule="auto"/>
        <w:ind w:firstLine="1560" w:firstLineChars="650"/>
        <w:rPr>
          <w:sz w:val="24"/>
        </w:rPr>
      </w:pPr>
      <w:r>
        <w:rPr>
          <w:rFonts w:hint="eastAsia"/>
          <w:sz w:val="24"/>
        </w:rPr>
        <w:t>温度： 0～45℃</w:t>
      </w:r>
    </w:p>
    <w:p>
      <w:pPr>
        <w:spacing w:line="360" w:lineRule="auto"/>
        <w:ind w:firstLine="1560" w:firstLineChars="650"/>
        <w:rPr>
          <w:sz w:val="24"/>
        </w:rPr>
      </w:pPr>
      <w:r>
        <w:rPr>
          <w:rFonts w:hint="eastAsia"/>
          <w:sz w:val="24"/>
        </w:rPr>
        <w:t>湿度： 5～90％RH</w:t>
      </w:r>
    </w:p>
    <w:p>
      <w:pPr>
        <w:numPr>
          <w:ilvl w:val="0"/>
          <w:numId w:val="1"/>
        </w:numPr>
        <w:spacing w:line="360" w:lineRule="auto"/>
        <w:rPr>
          <w:b/>
          <w:sz w:val="24"/>
        </w:rPr>
      </w:pPr>
      <w:r>
        <w:rPr>
          <w:rFonts w:hint="eastAsia"/>
          <w:b/>
          <w:sz w:val="24"/>
        </w:rPr>
        <w:t>设备用途：</w:t>
      </w:r>
    </w:p>
    <w:p>
      <w:pPr>
        <w:pStyle w:val="2"/>
        <w:spacing w:line="360" w:lineRule="auto"/>
        <w:rPr>
          <w:sz w:val="24"/>
        </w:rPr>
      </w:pPr>
      <w:r>
        <w:rPr>
          <w:rFonts w:hint="eastAsia"/>
          <w:sz w:val="24"/>
          <w:szCs w:val="24"/>
        </w:rPr>
        <w:t>2.1 负载均衡设备：作为专业的应用交付设备，为应用发布提供包括多数据中心负载均衡、多链路负载均衡、服务器负载均衡的解决方案。配合性能优化、单边加速以及多重智能管理等技术，实现对各个数据中心、链路以及服务器状态的实时监控，同时根据预设规则将访问请求分配给相应的数据中心、链路以及服务器，进而实现数据流的合理分配，使数据中心、链路和服务器都得到充分的利用。扩展应用系统的整体处理能力，提高其稳定性，改善访问体验，降低IT 投资成本。</w:t>
      </w:r>
    </w:p>
    <w:p>
      <w:pPr>
        <w:spacing w:line="360" w:lineRule="auto"/>
        <w:rPr>
          <w:sz w:val="24"/>
        </w:rPr>
      </w:pPr>
    </w:p>
    <w:p>
      <w:pPr>
        <w:numPr>
          <w:ilvl w:val="0"/>
          <w:numId w:val="1"/>
        </w:numPr>
        <w:spacing w:line="360" w:lineRule="auto"/>
        <w:rPr>
          <w:b/>
          <w:sz w:val="24"/>
        </w:rPr>
      </w:pPr>
      <w:r>
        <w:rPr>
          <w:rFonts w:hint="eastAsia"/>
          <w:b/>
          <w:sz w:val="24"/>
        </w:rPr>
        <w:t>技术规格：</w:t>
      </w:r>
    </w:p>
    <w:p>
      <w:pPr>
        <w:rPr>
          <w:b/>
          <w:sz w:val="24"/>
        </w:rPr>
      </w:pPr>
      <w:r>
        <w:rPr>
          <w:rFonts w:hint="eastAsia"/>
          <w:sz w:val="24"/>
        </w:rPr>
        <w:t>3.1负载均衡设备</w:t>
      </w:r>
    </w:p>
    <w:p>
      <w:pPr>
        <w:spacing w:line="360" w:lineRule="auto"/>
        <w:ind w:firstLine="240" w:firstLineChars="100"/>
        <w:rPr>
          <w:sz w:val="24"/>
        </w:rPr>
      </w:pPr>
      <w:r>
        <w:rPr>
          <w:rFonts w:hint="eastAsia"/>
          <w:sz w:val="24"/>
        </w:rPr>
        <w:t>3.1.1设备高度：2U</w:t>
      </w:r>
    </w:p>
    <w:p>
      <w:pPr>
        <w:spacing w:line="360" w:lineRule="auto"/>
        <w:ind w:firstLine="240" w:firstLineChars="100"/>
        <w:rPr>
          <w:sz w:val="24"/>
        </w:rPr>
      </w:pPr>
      <w:r>
        <w:rPr>
          <w:rFonts w:hint="eastAsia"/>
          <w:sz w:val="24"/>
        </w:rPr>
        <w:t>3.1.2CPU类型：2核 2.7GHz</w:t>
      </w:r>
      <w:r>
        <w:rPr>
          <w:sz w:val="24"/>
        </w:rPr>
        <w:t xml:space="preserve"> </w:t>
      </w:r>
    </w:p>
    <w:p>
      <w:pPr>
        <w:spacing w:line="360" w:lineRule="auto"/>
        <w:ind w:firstLine="240" w:firstLineChars="100"/>
        <w:rPr>
          <w:sz w:val="24"/>
        </w:rPr>
      </w:pPr>
      <w:r>
        <w:rPr>
          <w:rFonts w:hint="eastAsia"/>
          <w:sz w:val="24"/>
        </w:rPr>
        <w:t>3.1.3CPU实配颗数：1颗</w:t>
      </w:r>
    </w:p>
    <w:p>
      <w:pPr>
        <w:spacing w:line="360" w:lineRule="auto"/>
        <w:ind w:firstLine="240" w:firstLineChars="100"/>
        <w:rPr>
          <w:sz w:val="24"/>
        </w:rPr>
      </w:pPr>
    </w:p>
    <w:p>
      <w:pPr>
        <w:numPr>
          <w:ilvl w:val="0"/>
          <w:numId w:val="1"/>
        </w:numPr>
        <w:spacing w:line="360" w:lineRule="auto"/>
        <w:rPr>
          <w:b/>
          <w:sz w:val="24"/>
        </w:rPr>
      </w:pPr>
      <w:r>
        <w:rPr>
          <w:rFonts w:hint="eastAsia"/>
          <w:b/>
          <w:sz w:val="24"/>
        </w:rPr>
        <w:t>产品配置要求</w:t>
      </w:r>
    </w:p>
    <w:p>
      <w:pPr>
        <w:spacing w:line="360" w:lineRule="auto"/>
        <w:rPr>
          <w:sz w:val="24"/>
        </w:rPr>
      </w:pPr>
      <w:r>
        <w:rPr>
          <w:rFonts w:hint="eastAsia"/>
          <w:sz w:val="24"/>
        </w:rPr>
        <w:t>4.1负载均衡设备  1台</w:t>
      </w:r>
    </w:p>
    <w:p>
      <w:pPr>
        <w:spacing w:line="360" w:lineRule="auto"/>
        <w:ind w:firstLine="240" w:firstLineChars="100"/>
        <w:rPr>
          <w:sz w:val="24"/>
        </w:rPr>
      </w:pPr>
      <w:r>
        <w:rPr>
          <w:rFonts w:hint="eastAsia"/>
          <w:sz w:val="24"/>
        </w:rPr>
        <w:t>4.1.1CPU：2核 2.7GHz</w:t>
      </w:r>
    </w:p>
    <w:p>
      <w:pPr>
        <w:spacing w:line="360" w:lineRule="auto"/>
        <w:ind w:firstLine="240" w:firstLineChars="100"/>
        <w:rPr>
          <w:sz w:val="24"/>
        </w:rPr>
      </w:pPr>
      <w:r>
        <w:rPr>
          <w:rFonts w:hint="eastAsia"/>
          <w:sz w:val="24"/>
        </w:rPr>
        <w:t>4.1.2内存：4GB</w:t>
      </w:r>
    </w:p>
    <w:p>
      <w:pPr>
        <w:spacing w:line="360" w:lineRule="auto"/>
        <w:ind w:firstLine="240" w:firstLineChars="100"/>
        <w:rPr>
          <w:sz w:val="24"/>
        </w:rPr>
      </w:pPr>
      <w:r>
        <w:rPr>
          <w:rFonts w:hint="eastAsia"/>
          <w:sz w:val="24"/>
        </w:rPr>
        <w:t>4.1.3硬盘：</w:t>
      </w:r>
      <w:r>
        <w:rPr>
          <w:sz w:val="24"/>
        </w:rPr>
        <w:t xml:space="preserve"> 128GB</w:t>
      </w:r>
      <w:r>
        <w:rPr>
          <w:rFonts w:hint="eastAsia"/>
          <w:sz w:val="24"/>
        </w:rPr>
        <w:t xml:space="preserve"> </w:t>
      </w:r>
      <w:r>
        <w:rPr>
          <w:sz w:val="24"/>
        </w:rPr>
        <w:t xml:space="preserve"> </w:t>
      </w:r>
    </w:p>
    <w:p>
      <w:pPr>
        <w:spacing w:line="360" w:lineRule="auto"/>
        <w:ind w:firstLine="240" w:firstLineChars="100"/>
        <w:rPr>
          <w:sz w:val="24"/>
        </w:rPr>
      </w:pPr>
      <w:r>
        <w:rPr>
          <w:rFonts w:hint="eastAsia"/>
          <w:sz w:val="24"/>
        </w:rPr>
        <w:t>4.1.4电口：6个千兆电口</w:t>
      </w:r>
    </w:p>
    <w:p>
      <w:pPr>
        <w:spacing w:line="360" w:lineRule="auto"/>
        <w:ind w:firstLine="240" w:firstLineChars="100"/>
        <w:rPr>
          <w:sz w:val="24"/>
        </w:rPr>
      </w:pPr>
      <w:r>
        <w:rPr>
          <w:rFonts w:hint="eastAsia"/>
          <w:sz w:val="24"/>
        </w:rPr>
        <w:t>4.1.5光口：2个千兆光口</w:t>
      </w:r>
    </w:p>
    <w:p>
      <w:pPr>
        <w:spacing w:line="360" w:lineRule="auto"/>
        <w:ind w:firstLine="240" w:firstLineChars="100"/>
        <w:rPr>
          <w:sz w:val="24"/>
        </w:rPr>
      </w:pPr>
      <w:r>
        <w:rPr>
          <w:rFonts w:hint="eastAsia"/>
          <w:sz w:val="24"/>
        </w:rPr>
        <w:t>4.1.6额定功率：</w:t>
      </w:r>
      <w:r>
        <w:rPr>
          <w:sz w:val="24"/>
        </w:rPr>
        <w:t>250W</w:t>
      </w:r>
      <w:r>
        <w:rPr>
          <w:rFonts w:hint="eastAsia"/>
          <w:sz w:val="24"/>
        </w:rPr>
        <w:t xml:space="preserve"> </w:t>
      </w:r>
    </w:p>
    <w:p>
      <w:pPr>
        <w:spacing w:line="360" w:lineRule="auto"/>
        <w:ind w:firstLine="240" w:firstLineChars="100"/>
        <w:rPr>
          <w:sz w:val="24"/>
        </w:rPr>
      </w:pPr>
      <w:r>
        <w:rPr>
          <w:rFonts w:hint="eastAsia"/>
          <w:sz w:val="24"/>
        </w:rPr>
        <w:t>4.1.7实际功率：</w:t>
      </w:r>
      <w:r>
        <w:rPr>
          <w:sz w:val="24"/>
        </w:rPr>
        <w:t>180W</w:t>
      </w:r>
    </w:p>
    <w:p>
      <w:pPr>
        <w:spacing w:line="360" w:lineRule="auto"/>
        <w:ind w:firstLine="240" w:firstLineChars="100"/>
        <w:rPr>
          <w:sz w:val="24"/>
        </w:rPr>
      </w:pPr>
      <w:r>
        <w:rPr>
          <w:rFonts w:hint="eastAsia"/>
          <w:sz w:val="24"/>
        </w:rPr>
        <w:t>4.1.8吞吐量：5</w:t>
      </w:r>
      <w:r>
        <w:rPr>
          <w:sz w:val="24"/>
        </w:rPr>
        <w:t>Gbps</w:t>
      </w:r>
    </w:p>
    <w:p>
      <w:pPr>
        <w:spacing w:line="360" w:lineRule="auto"/>
        <w:ind w:firstLine="240" w:firstLineChars="100"/>
        <w:rPr>
          <w:sz w:val="24"/>
        </w:rPr>
      </w:pPr>
      <w:r>
        <w:rPr>
          <w:rFonts w:hint="eastAsia"/>
          <w:sz w:val="24"/>
        </w:rPr>
        <w:t>4.1.9并发连接数：</w:t>
      </w:r>
      <w:r>
        <w:rPr>
          <w:sz w:val="24"/>
        </w:rPr>
        <w:t>3000000</w:t>
      </w:r>
    </w:p>
    <w:p>
      <w:pPr>
        <w:spacing w:line="360" w:lineRule="auto"/>
        <w:ind w:firstLine="240" w:firstLineChars="100"/>
        <w:rPr>
          <w:sz w:val="24"/>
        </w:rPr>
      </w:pPr>
      <w:r>
        <w:rPr>
          <w:rFonts w:hint="eastAsia"/>
          <w:sz w:val="24"/>
        </w:rPr>
        <w:t>4.1.10 4层新建连接数 CPS：</w:t>
      </w:r>
      <w:r>
        <w:rPr>
          <w:sz w:val="24"/>
        </w:rPr>
        <w:t>1</w:t>
      </w:r>
      <w:r>
        <w:rPr>
          <w:rFonts w:hint="eastAsia"/>
          <w:sz w:val="24"/>
        </w:rPr>
        <w:t>5</w:t>
      </w:r>
      <w:r>
        <w:rPr>
          <w:sz w:val="24"/>
        </w:rPr>
        <w:t>0000</w:t>
      </w:r>
    </w:p>
    <w:p>
      <w:pPr>
        <w:spacing w:line="360" w:lineRule="auto"/>
        <w:ind w:firstLine="240" w:firstLineChars="100"/>
        <w:rPr>
          <w:sz w:val="24"/>
        </w:rPr>
      </w:pPr>
      <w:r>
        <w:rPr>
          <w:rFonts w:hint="eastAsia"/>
          <w:sz w:val="24"/>
        </w:rPr>
        <w:t>4.1.11 7层新建连接数 RPS：70</w:t>
      </w:r>
      <w:r>
        <w:rPr>
          <w:sz w:val="24"/>
        </w:rPr>
        <w:t>000</w:t>
      </w:r>
    </w:p>
    <w:p>
      <w:pPr>
        <w:spacing w:line="360" w:lineRule="auto"/>
        <w:ind w:firstLine="240" w:firstLineChars="100"/>
        <w:rPr>
          <w:sz w:val="24"/>
        </w:rPr>
      </w:pPr>
      <w:r>
        <w:rPr>
          <w:rFonts w:hint="eastAsia"/>
          <w:sz w:val="24"/>
        </w:rPr>
        <w:t>4.1.1</w:t>
      </w:r>
      <w:r>
        <w:rPr>
          <w:sz w:val="24"/>
        </w:rPr>
        <w:t xml:space="preserve">2 </w:t>
      </w:r>
      <w:r>
        <w:rPr>
          <w:rFonts w:hint="eastAsia"/>
          <w:sz w:val="24"/>
        </w:rPr>
        <w:t>USB接口：2*USB3.0</w:t>
      </w:r>
    </w:p>
    <w:p>
      <w:pPr>
        <w:spacing w:line="360" w:lineRule="auto"/>
        <w:rPr>
          <w:b/>
          <w:sz w:val="24"/>
        </w:rPr>
      </w:pPr>
      <w:r>
        <w:rPr>
          <w:rFonts w:hint="eastAsia"/>
          <w:b/>
          <w:sz w:val="24"/>
        </w:rPr>
        <w:t>5</w:t>
      </w:r>
      <w:r>
        <w:rPr>
          <w:b/>
          <w:sz w:val="24"/>
        </w:rPr>
        <w:t xml:space="preserve">. </w:t>
      </w:r>
      <w:r>
        <w:rPr>
          <w:rFonts w:hint="eastAsia"/>
          <w:b/>
          <w:sz w:val="24"/>
        </w:rPr>
        <w:t>选购附件、备件及消耗品（请参考总则第2.2条）</w:t>
      </w:r>
    </w:p>
    <w:p>
      <w:pPr>
        <w:spacing w:line="360" w:lineRule="auto"/>
        <w:rPr>
          <w:sz w:val="24"/>
        </w:rPr>
      </w:pPr>
      <w:r>
        <w:rPr>
          <w:rFonts w:hint="eastAsia"/>
          <w:sz w:val="24"/>
        </w:rPr>
        <w:t>5.1 查询项目</w:t>
      </w:r>
    </w:p>
    <w:p>
      <w:pPr>
        <w:spacing w:line="360" w:lineRule="auto"/>
        <w:ind w:firstLine="240" w:firstLineChars="100"/>
        <w:rPr>
          <w:sz w:val="24"/>
        </w:rPr>
      </w:pPr>
      <w:r>
        <w:rPr>
          <w:rFonts w:hint="eastAsia"/>
          <w:sz w:val="24"/>
        </w:rPr>
        <w:t>5.1.1无</w:t>
      </w:r>
    </w:p>
    <w:p>
      <w:pPr>
        <w:spacing w:line="360" w:lineRule="auto"/>
        <w:rPr>
          <w:sz w:val="24"/>
        </w:rPr>
      </w:pPr>
      <w:r>
        <w:rPr>
          <w:rFonts w:hint="eastAsia"/>
          <w:sz w:val="24"/>
        </w:rPr>
        <w:t>5.2  投标人推荐的其它选件：无</w:t>
      </w:r>
    </w:p>
    <w:p>
      <w:pPr>
        <w:spacing w:line="360" w:lineRule="auto"/>
        <w:rPr>
          <w:sz w:val="24"/>
        </w:rPr>
      </w:pPr>
      <w:r>
        <w:rPr>
          <w:rFonts w:hint="eastAsia"/>
          <w:sz w:val="24"/>
        </w:rPr>
        <w:t>5.3  延长保修价格：</w:t>
      </w:r>
    </w:p>
    <w:p>
      <w:pPr>
        <w:spacing w:line="360" w:lineRule="auto"/>
        <w:ind w:firstLine="240" w:firstLineChars="100"/>
        <w:rPr>
          <w:sz w:val="24"/>
        </w:rPr>
      </w:pPr>
      <w:r>
        <w:rPr>
          <w:rFonts w:hint="eastAsia"/>
          <w:sz w:val="24"/>
        </w:rPr>
        <w:t>5.3.1延长保修期半年：</w:t>
      </w:r>
    </w:p>
    <w:p>
      <w:pPr>
        <w:spacing w:line="360" w:lineRule="auto"/>
        <w:ind w:firstLine="240" w:firstLineChars="100"/>
        <w:rPr>
          <w:rFonts w:hint="eastAsia"/>
          <w:sz w:val="24"/>
        </w:rPr>
      </w:pPr>
      <w:r>
        <w:rPr>
          <w:rFonts w:hint="eastAsia"/>
          <w:sz w:val="24"/>
        </w:rPr>
        <w:t>5.3.2延长保修期1年：</w:t>
      </w:r>
    </w:p>
    <w:p>
      <w:pPr>
        <w:spacing w:line="360" w:lineRule="auto"/>
        <w:ind w:firstLine="240" w:firstLineChars="100"/>
        <w:rPr>
          <w:rFonts w:hint="eastAsia"/>
          <w:sz w:val="24"/>
        </w:rPr>
      </w:pPr>
      <w:r>
        <w:rPr>
          <w:rFonts w:hint="eastAsia"/>
          <w:sz w:val="24"/>
        </w:rPr>
        <w:t>5.3.3延长保修期2年：</w:t>
      </w:r>
    </w:p>
    <w:p>
      <w:pPr>
        <w:spacing w:line="360" w:lineRule="auto"/>
        <w:ind w:firstLine="240" w:firstLineChars="100"/>
        <w:rPr>
          <w:sz w:val="24"/>
        </w:rPr>
      </w:pPr>
      <w:r>
        <w:rPr>
          <w:rFonts w:hint="eastAsia"/>
          <w:sz w:val="24"/>
        </w:rPr>
        <w:t>5.3.4延长保修期3年：</w:t>
      </w:r>
    </w:p>
    <w:p>
      <w:pPr>
        <w:tabs>
          <w:tab w:val="left" w:pos="540"/>
        </w:tabs>
        <w:spacing w:line="360" w:lineRule="auto"/>
        <w:rPr>
          <w:sz w:val="24"/>
        </w:rPr>
      </w:pPr>
    </w:p>
    <w:p>
      <w:pPr>
        <w:tabs>
          <w:tab w:val="left" w:pos="540"/>
        </w:tabs>
        <w:spacing w:line="360" w:lineRule="auto"/>
        <w:rPr>
          <w:b/>
          <w:sz w:val="24"/>
        </w:rPr>
      </w:pPr>
      <w:r>
        <w:rPr>
          <w:rFonts w:hint="eastAsia"/>
          <w:b/>
          <w:sz w:val="24"/>
        </w:rPr>
        <w:t>6.  技术文件：</w:t>
      </w:r>
    </w:p>
    <w:p>
      <w:pPr>
        <w:spacing w:line="360" w:lineRule="auto"/>
        <w:rPr>
          <w:rFonts w:hint="eastAsia"/>
          <w:sz w:val="24"/>
        </w:rPr>
      </w:pPr>
      <w:r>
        <w:rPr>
          <w:rFonts w:hint="eastAsia"/>
          <w:sz w:val="24"/>
        </w:rPr>
        <w:t>6.1 负载均衡关键特性</w:t>
      </w:r>
    </w:p>
    <w:p>
      <w:pPr>
        <w:spacing w:line="360" w:lineRule="auto"/>
        <w:rPr>
          <w:rFonts w:hint="eastAsia"/>
          <w:sz w:val="24"/>
        </w:rPr>
      </w:pPr>
      <w:r>
        <w:rPr>
          <w:rFonts w:hint="eastAsia"/>
          <w:sz w:val="24"/>
        </w:rPr>
        <w:t xml:space="preserve">  6.1.1多链路负载均衡：负载均衡应用交付设备集成智能路由、DNS 透明代理和智能 DNS 解析等技术，通过轮询、加权轮询、静态就近性、动态就近性等算法，解决多链路网络环境中流量分担的问题，充分提高多链路的带宽利用率，节约企事业单位对通信链路的投资；并且通过为用户分配最佳的通信线路，使用户获得绝佳的访问体验。此外，负载均衡应用交付设备还利用链路健康检查及会话保持技术，实现了在某条链路中断的情况下任然可以提供访问链接能力，充分利用了多条链路带来的可靠性保障，使对于用户的访问达到了最全面的支持；</w:t>
      </w:r>
    </w:p>
    <w:p>
      <w:pPr>
        <w:spacing w:line="360" w:lineRule="auto"/>
        <w:rPr>
          <w:rFonts w:hint="eastAsia"/>
          <w:sz w:val="24"/>
        </w:rPr>
      </w:pPr>
      <w:r>
        <w:rPr>
          <w:rFonts w:hint="eastAsia"/>
          <w:sz w:val="24"/>
        </w:rPr>
        <w:t xml:space="preserve">  6.1.2服务器负载均衡：运用多台服务器集群的机制，负载均衡应用交付设备能将所有真实服务器配置成虚拟服务来实现负载均衡，对外直接发布一个虚拟服务 IP。当用户请求到达应用交付设备的时候，根据预先设定的基于多重四、七层负载均衡算法的调度策略，能够合理的将每个连接快速的分配到相应的服务器，从而合理利用服务器资源。不仅在减少硬件投资成本情况下解决单台服务器性能瓶颈，同时方便后续扩容，为大并发访问量的系统提供性能保障。</w:t>
      </w:r>
    </w:p>
    <w:p>
      <w:pPr>
        <w:spacing w:line="360" w:lineRule="auto"/>
        <w:ind w:firstLine="720" w:firstLineChars="300"/>
        <w:rPr>
          <w:sz w:val="24"/>
        </w:rPr>
      </w:pPr>
      <w:r>
        <w:rPr>
          <w:rFonts w:hint="eastAsia"/>
          <w:sz w:val="24"/>
        </w:rPr>
        <w:t>通过对服务器健康状况的全面监控，负载均衡应用交付设备能实时地发现故障服务器，并及时将用户的访问请求切换到其他正常服务器之上，实现多台服务器之间冗余。从而保证关键应用系统的稳定性，不会由于某台服务器故障，造成应用系统的局部访问中断。</w:t>
      </w:r>
    </w:p>
    <w:p>
      <w:pPr>
        <w:spacing w:line="360" w:lineRule="auto"/>
        <w:ind w:firstLine="720" w:firstLineChars="300"/>
        <w:rPr>
          <w:rFonts w:hint="eastAsia" w:eastAsia="宋体"/>
          <w:sz w:val="24"/>
          <w:lang w:eastAsia="zh-CN"/>
        </w:rPr>
      </w:pPr>
      <w:r>
        <w:rPr>
          <w:rFonts w:hint="eastAsia"/>
          <w:sz w:val="24"/>
        </w:rPr>
        <w:t>服务器数据安全很重要，设备需提供数据库安全功能，检查访问数据库的权限，杜绝非授权用户访问数据，保证数据库的安全，（支持</w:t>
      </w:r>
      <w:r>
        <w:rPr>
          <w:sz w:val="24"/>
        </w:rPr>
        <w:t>MySQL</w:t>
      </w:r>
      <w:r>
        <w:rPr>
          <w:rFonts w:hint="eastAsia"/>
          <w:sz w:val="24"/>
        </w:rPr>
        <w:t>、</w:t>
      </w:r>
      <w:r>
        <w:rPr>
          <w:sz w:val="24"/>
        </w:rPr>
        <w:t>Oracle</w:t>
      </w:r>
      <w:r>
        <w:rPr>
          <w:rFonts w:hint="eastAsia"/>
          <w:sz w:val="24"/>
        </w:rPr>
        <w:t>、</w:t>
      </w:r>
      <w:r>
        <w:rPr>
          <w:sz w:val="24"/>
        </w:rPr>
        <w:t>SQL Server</w:t>
      </w:r>
      <w:r>
        <w:rPr>
          <w:rFonts w:hint="eastAsia"/>
          <w:sz w:val="24"/>
        </w:rPr>
        <w:t>、</w:t>
      </w:r>
      <w:r>
        <w:rPr>
          <w:sz w:val="24"/>
        </w:rPr>
        <w:t>DB2</w:t>
      </w:r>
      <w:r>
        <w:rPr>
          <w:rFonts w:hint="eastAsia"/>
          <w:sz w:val="24"/>
        </w:rPr>
        <w:t>、</w:t>
      </w:r>
      <w:r>
        <w:rPr>
          <w:sz w:val="24"/>
        </w:rPr>
        <w:t>Sybase</w:t>
      </w:r>
      <w:r>
        <w:rPr>
          <w:rFonts w:hint="eastAsia"/>
          <w:sz w:val="24"/>
        </w:rPr>
        <w:t>）。</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ind w:firstLine="720" w:firstLineChars="300"/>
        <w:rPr>
          <w:rFonts w:hint="eastAsia"/>
          <w:sz w:val="24"/>
        </w:rPr>
      </w:pPr>
      <w:r>
        <w:rPr>
          <w:rFonts w:hint="eastAsia"/>
          <w:sz w:val="24"/>
        </w:rPr>
        <w:t>随着 IPv4 地址的逐渐枯竭，以及 IPv6 对安全性和可靠性的增强，网络正在逐渐向 IPv6 过渡。为了适应这种趋势，负载均衡应用交付设备不仅能对 IPv4 协议的应用系统进行负载均衡，也同样支持基于 IPv6 协议的 L4/L7 服务器负载均衡，以实现用户对IPv6 服务的发布，设备需支持</w:t>
      </w:r>
      <w:r>
        <w:rPr>
          <w:sz w:val="24"/>
        </w:rPr>
        <w:t>IPV6/IPV4</w:t>
      </w:r>
      <w:r>
        <w:rPr>
          <w:rFonts w:hint="eastAsia"/>
          <w:sz w:val="24"/>
        </w:rPr>
        <w:t>双栈，支持</w:t>
      </w:r>
      <w:r>
        <w:rPr>
          <w:sz w:val="24"/>
        </w:rPr>
        <w:t>NAT66</w:t>
      </w:r>
      <w:r>
        <w:rPr>
          <w:rFonts w:hint="eastAsia"/>
          <w:sz w:val="24"/>
        </w:rPr>
        <w:t>、</w:t>
      </w:r>
      <w:r>
        <w:rPr>
          <w:sz w:val="24"/>
        </w:rPr>
        <w:t>NAT64</w:t>
      </w:r>
      <w:r>
        <w:rPr>
          <w:rFonts w:hint="eastAsia"/>
          <w:sz w:val="24"/>
        </w:rPr>
        <w:t>、</w:t>
      </w:r>
      <w:r>
        <w:rPr>
          <w:sz w:val="24"/>
        </w:rPr>
        <w:t>DNS64</w:t>
      </w:r>
      <w:r>
        <w:rPr>
          <w:rFonts w:hint="eastAsia"/>
          <w:sz w:val="24"/>
        </w:rPr>
        <w:t>，可对过渡型网络进行负载均衡。</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rPr>
          <w:rFonts w:hint="eastAsia"/>
          <w:sz w:val="24"/>
        </w:rPr>
      </w:pPr>
      <w:r>
        <w:rPr>
          <w:rFonts w:hint="eastAsia"/>
          <w:sz w:val="24"/>
        </w:rPr>
        <w:t xml:space="preserve">  6.1.3服务器性能优化：信息化建设对各个组织机构而言都是一项长期的工作，硬件投资成本与性能回报是每个 IT部门需要权衡的问题。负载均衡应用交付产品除了能实现服务器负载均衡机制，提高服务器资源的利用率之外，还支持 TCP 连接复用、内存缓存、HTTP压缩、SSL 卸载等众多性能优化技术，内置</w:t>
      </w:r>
      <w:r>
        <w:rPr>
          <w:sz w:val="24"/>
        </w:rPr>
        <w:t>SSL</w:t>
      </w:r>
      <w:r>
        <w:rPr>
          <w:rFonts w:hint="eastAsia"/>
          <w:sz w:val="24"/>
        </w:rPr>
        <w:t>卸载模块，</w:t>
      </w:r>
      <w:r>
        <w:rPr>
          <w:sz w:val="24"/>
        </w:rPr>
        <w:t>SSL</w:t>
      </w:r>
      <w:r>
        <w:rPr>
          <w:rFonts w:hint="eastAsia"/>
          <w:sz w:val="24"/>
        </w:rPr>
        <w:t>工作减轻服务器负担。支持服务器</w:t>
      </w:r>
      <w:r>
        <w:rPr>
          <w:sz w:val="24"/>
        </w:rPr>
        <w:t>CA</w:t>
      </w:r>
      <w:r>
        <w:rPr>
          <w:rFonts w:hint="eastAsia"/>
          <w:sz w:val="24"/>
        </w:rPr>
        <w:t>证书导入，提供证书单向和双向认证，双向认证支持透传客户端证书给后台服务器。通过减少服务器的硬件资源消耗，缩短服务器响应时间，在节省了硬件投资成本的同时，有效地保障用户访问的速度和稳定性，进而提升用户的访问体验。</w:t>
      </w:r>
    </w:p>
    <w:p>
      <w:pPr>
        <w:spacing w:line="360" w:lineRule="auto"/>
        <w:rPr>
          <w:rFonts w:hint="eastAsia"/>
          <w:sz w:val="24"/>
        </w:rPr>
      </w:pPr>
      <w:r>
        <w:rPr>
          <w:rFonts w:hint="eastAsia"/>
          <w:sz w:val="24"/>
        </w:rPr>
        <w:t xml:space="preserve">  6.1.4全局负载均衡：全局负载均衡能够帮助组织将相同应用系统的服务内容部署在不同地理位置之上，保证承载应用系统的多数据中心能够具备更高的持续性和可用性以及快速性，使得用户不管身处全球任何位置都能获得更快速、更稳定的访问体验。</w:t>
      </w:r>
    </w:p>
    <w:p>
      <w:pPr>
        <w:spacing w:line="360" w:lineRule="auto"/>
        <w:ind w:firstLine="600" w:firstLineChars="250"/>
        <w:rPr>
          <w:rFonts w:hint="eastAsia"/>
          <w:sz w:val="24"/>
        </w:rPr>
      </w:pPr>
      <w:r>
        <w:rPr>
          <w:rFonts w:hint="eastAsia"/>
          <w:sz w:val="24"/>
        </w:rPr>
        <w:t>通过全面的健康检查机制，负载均衡设备能够实时的监控各个数据中心的运行状况，及时发现出现故障的数据中心或者其内部服务器，从而保证将用户后续访问请求都分配到其他的正常数据中心或者服务器之上。不但使多站点之间形成冗余，保障用户访问稳定，还提升了各站点的资源利用率，健康检查需采用主动健康检查和被动健康检查相结合的方式，主动健康检查类型必须全部包括http、https、icmp、tcp、tcp_ecv、udp、smtp、pop3、imap、snmp、soap、dns、radius、arp、mysql、ldap、ftp、wap、fix、ssl等。</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ind w:firstLine="600" w:firstLineChars="250"/>
        <w:rPr>
          <w:rFonts w:hint="eastAsia"/>
          <w:sz w:val="24"/>
        </w:rPr>
      </w:pPr>
      <w:r>
        <w:rPr>
          <w:rFonts w:hint="eastAsia"/>
          <w:sz w:val="24"/>
        </w:rPr>
        <w:t>随</w:t>
      </w:r>
      <w:r>
        <w:rPr>
          <w:rFonts w:hint="eastAsia"/>
          <w:sz w:val="24"/>
          <w:lang w:val="en-US" w:eastAsia="zh-CN"/>
        </w:rPr>
        <w:t>着</w:t>
      </w:r>
      <w:r>
        <w:rPr>
          <w:rFonts w:hint="eastAsia"/>
          <w:sz w:val="24"/>
        </w:rPr>
        <w:t>云的普及以后会越来越多的信息系统部署在云上，所以负载均衡设备需支持</w:t>
      </w:r>
      <w:r>
        <w:rPr>
          <w:sz w:val="24"/>
        </w:rPr>
        <w:t>openstack</w:t>
      </w:r>
      <w:r>
        <w:rPr>
          <w:rFonts w:hint="eastAsia"/>
          <w:sz w:val="24"/>
        </w:rPr>
        <w:t>负载均衡组件对接，简化配置流程。通过</w:t>
      </w:r>
      <w:r>
        <w:rPr>
          <w:sz w:val="24"/>
        </w:rPr>
        <w:t xml:space="preserve">openstack </w:t>
      </w:r>
      <w:r>
        <w:rPr>
          <w:rFonts w:hint="eastAsia"/>
          <w:sz w:val="24"/>
        </w:rPr>
        <w:t>负载均衡页面，即可实现业务配置自动下发和南北向流量自动打通，无需用户操作负载均衡设备环节。支持多租户，层次化绑定（支持</w:t>
      </w:r>
      <w:r>
        <w:rPr>
          <w:sz w:val="24"/>
        </w:rPr>
        <w:t>VLAN</w:t>
      </w:r>
      <w:r>
        <w:rPr>
          <w:rFonts w:hint="eastAsia"/>
          <w:sz w:val="24"/>
        </w:rPr>
        <w:t>个数大于</w:t>
      </w:r>
      <w:r>
        <w:rPr>
          <w:sz w:val="24"/>
        </w:rPr>
        <w:t>4096</w:t>
      </w:r>
      <w:r>
        <w:rPr>
          <w:rFonts w:hint="eastAsia"/>
          <w:sz w:val="24"/>
        </w:rPr>
        <w:t>）等特性</w:t>
      </w:r>
    </w:p>
    <w:p>
      <w:pPr>
        <w:spacing w:line="360" w:lineRule="auto"/>
        <w:rPr>
          <w:rFonts w:hint="eastAsia"/>
          <w:sz w:val="24"/>
        </w:rPr>
      </w:pPr>
      <w:r>
        <w:rPr>
          <w:rFonts w:hint="eastAsia"/>
          <w:sz w:val="24"/>
        </w:rPr>
        <w:t xml:space="preserve">  6.1.5可编程功能 iPro：负载均衡应用交付产品提供脚本编程功能 iPro，通过 Lua 语言实现用户自定义的流量编排处理，支持流量调度、会话保持和 DNS 等子功能。它基于事件驱动，继承了 Lua 语言的基本特性，并加入了一定的扩展。通过 iPro 编写脚本，可提取应用数据包的不定址不定长特征码，实现 7 层内容交换，主要应用于未知协议的解析和基于消息的负载均衡，很多特殊场景下以往无法实现的用户需求，都可通过 iPro 解决。</w:t>
      </w:r>
    </w:p>
    <w:p>
      <w:pPr>
        <w:spacing w:line="360" w:lineRule="auto"/>
        <w:rPr>
          <w:rFonts w:hint="eastAsia"/>
          <w:sz w:val="24"/>
        </w:rPr>
      </w:pPr>
      <w:r>
        <w:rPr>
          <w:rFonts w:hint="eastAsia"/>
          <w:sz w:val="24"/>
        </w:rPr>
        <w:t xml:space="preserve">  6.1.6设备部署与管理：负载均衡应用交付产品支持路由、旁路两种部署模式，支持 VLAN、STP 等局域网协议，并可与动态路由协议（例如 OSPF、RIPv1、RIPv2）网络进行对接，以帮助用户应对各种复杂的网络环境。在业务持久性、终端用户访问体验、数据中心可用性等多个应用领域，均可通过部署 AD 设备予以优化。</w:t>
      </w:r>
    </w:p>
    <w:p>
      <w:pPr>
        <w:spacing w:line="360" w:lineRule="auto"/>
        <w:ind w:firstLine="600" w:firstLineChars="250"/>
        <w:rPr>
          <w:rFonts w:hint="eastAsia"/>
          <w:sz w:val="24"/>
        </w:rPr>
      </w:pPr>
      <w:r>
        <w:rPr>
          <w:rFonts w:hint="eastAsia"/>
          <w:sz w:val="24"/>
        </w:rPr>
        <w:t>在负载均衡设备上启动 SNMP 服务后，用户可使用 SNMP 客户端软件查询到 AD 设备的 CPU负载、内存占用、新建连接、并发连接、吞吐量等各种信息，方便地监控设备的硬件负载状况。此外，负载均衡设备也支持 ACL 功能，允许用户根据连接的五元组对访问进行精确的控制。</w:t>
      </w:r>
    </w:p>
    <w:p>
      <w:pPr>
        <w:spacing w:line="360" w:lineRule="auto"/>
        <w:rPr>
          <w:sz w:val="24"/>
        </w:rPr>
      </w:pPr>
      <w:r>
        <w:rPr>
          <w:rFonts w:hint="eastAsia"/>
          <w:sz w:val="24"/>
        </w:rPr>
        <w:t xml:space="preserve">  6.1.7安全防护：设备需具备基本的安全防护能力，需要具备以下安全能力应该免费提供，不需要另外购买模块，包括：</w:t>
      </w:r>
    </w:p>
    <w:p>
      <w:pPr>
        <w:spacing w:line="360" w:lineRule="auto"/>
        <w:ind w:firstLine="600" w:firstLineChars="250"/>
        <w:rPr>
          <w:rFonts w:hint="eastAsia"/>
          <w:sz w:val="24"/>
        </w:rPr>
      </w:pPr>
      <w:r>
        <w:rPr>
          <w:rFonts w:hint="eastAsia"/>
          <w:sz w:val="24"/>
        </w:rPr>
        <w:t>需提供</w:t>
      </w:r>
      <w:r>
        <w:rPr>
          <w:sz w:val="24"/>
        </w:rPr>
        <w:t>Web</w:t>
      </w:r>
      <w:r>
        <w:rPr>
          <w:rFonts w:hint="eastAsia"/>
          <w:sz w:val="24"/>
        </w:rPr>
        <w:t>应用防火墙功能。支持跨站脚本攻击</w:t>
      </w:r>
      <w:r>
        <w:rPr>
          <w:sz w:val="24"/>
        </w:rPr>
        <w:t>(XSS)</w:t>
      </w:r>
      <w:r>
        <w:rPr>
          <w:rFonts w:hint="eastAsia"/>
          <w:sz w:val="24"/>
        </w:rPr>
        <w:t>、扫描器防护</w:t>
      </w:r>
      <w:r>
        <w:rPr>
          <w:sz w:val="24"/>
        </w:rPr>
        <w:t>(Scanner)</w:t>
      </w:r>
      <w:r>
        <w:rPr>
          <w:rFonts w:hint="eastAsia"/>
          <w:sz w:val="24"/>
        </w:rPr>
        <w:t>、</w:t>
      </w:r>
      <w:r>
        <w:rPr>
          <w:sz w:val="24"/>
        </w:rPr>
        <w:t>SQL</w:t>
      </w:r>
      <w:r>
        <w:rPr>
          <w:rFonts w:hint="eastAsia"/>
          <w:sz w:val="24"/>
        </w:rPr>
        <w:t>注入攻击</w:t>
      </w:r>
      <w:r>
        <w:rPr>
          <w:sz w:val="24"/>
        </w:rPr>
        <w:t>(SQLi)</w:t>
      </w:r>
      <w:r>
        <w:rPr>
          <w:rFonts w:hint="eastAsia"/>
          <w:sz w:val="24"/>
        </w:rPr>
        <w:t>、系统命令注入攻击</w:t>
      </w:r>
      <w:r>
        <w:rPr>
          <w:sz w:val="24"/>
        </w:rPr>
        <w:t>(OSI)</w:t>
      </w:r>
      <w:r>
        <w:rPr>
          <w:rFonts w:hint="eastAsia"/>
          <w:sz w:val="24"/>
        </w:rPr>
        <w:t>、远程文件包含攻击</w:t>
      </w:r>
      <w:r>
        <w:rPr>
          <w:sz w:val="24"/>
        </w:rPr>
        <w:t>(RFI)</w:t>
      </w:r>
      <w:r>
        <w:rPr>
          <w:rFonts w:hint="eastAsia"/>
          <w:sz w:val="24"/>
        </w:rPr>
        <w:t>、路径遍历</w:t>
      </w:r>
      <w:r>
        <w:rPr>
          <w:sz w:val="24"/>
        </w:rPr>
        <w:t>(Path Traversal)</w:t>
      </w:r>
      <w:r>
        <w:rPr>
          <w:rFonts w:hint="eastAsia"/>
          <w:sz w:val="24"/>
        </w:rPr>
        <w:t>、信息泄露攻击</w:t>
      </w:r>
      <w:r>
        <w:rPr>
          <w:sz w:val="24"/>
        </w:rPr>
        <w:t>(Info Leak)</w:t>
      </w:r>
      <w:r>
        <w:rPr>
          <w:rFonts w:hint="eastAsia"/>
          <w:sz w:val="24"/>
        </w:rPr>
        <w:t>、</w:t>
      </w:r>
      <w:r>
        <w:rPr>
          <w:sz w:val="24"/>
        </w:rPr>
        <w:t>LDAP</w:t>
      </w:r>
      <w:r>
        <w:rPr>
          <w:rFonts w:hint="eastAsia"/>
          <w:sz w:val="24"/>
        </w:rPr>
        <w:t>注入攻击</w:t>
      </w:r>
      <w:r>
        <w:rPr>
          <w:sz w:val="24"/>
        </w:rPr>
        <w:t>(LDAP Injection)</w:t>
      </w:r>
      <w:r>
        <w:rPr>
          <w:rFonts w:hint="eastAsia"/>
          <w:sz w:val="24"/>
        </w:rPr>
        <w:t>、</w:t>
      </w:r>
      <w:r>
        <w:rPr>
          <w:sz w:val="24"/>
        </w:rPr>
        <w:t>XPath</w:t>
      </w:r>
      <w:r>
        <w:rPr>
          <w:rFonts w:hint="eastAsia"/>
          <w:sz w:val="24"/>
        </w:rPr>
        <w:t>注入攻击</w:t>
      </w:r>
      <w:r>
        <w:rPr>
          <w:sz w:val="24"/>
        </w:rPr>
        <w:t>(XPath Injection)</w:t>
      </w:r>
      <w:r>
        <w:rPr>
          <w:rFonts w:hint="eastAsia"/>
          <w:sz w:val="24"/>
        </w:rPr>
        <w:t>、</w:t>
      </w:r>
      <w:r>
        <w:rPr>
          <w:sz w:val="24"/>
        </w:rPr>
        <w:t>SSI</w:t>
      </w:r>
      <w:r>
        <w:rPr>
          <w:rFonts w:hint="eastAsia"/>
          <w:sz w:val="24"/>
        </w:rPr>
        <w:t>注入攻击</w:t>
      </w:r>
      <w:r>
        <w:rPr>
          <w:sz w:val="24"/>
        </w:rPr>
        <w:t>(SSI Injection)</w:t>
      </w:r>
      <w:r>
        <w:rPr>
          <w:rFonts w:hint="eastAsia"/>
          <w:sz w:val="24"/>
        </w:rPr>
        <w:t>、</w:t>
      </w:r>
      <w:r>
        <w:rPr>
          <w:sz w:val="24"/>
        </w:rPr>
        <w:t>Web</w:t>
      </w:r>
      <w:r>
        <w:rPr>
          <w:rFonts w:hint="eastAsia"/>
          <w:sz w:val="24"/>
        </w:rPr>
        <w:t>服务器漏洞攻击、</w:t>
      </w:r>
      <w:r>
        <w:rPr>
          <w:sz w:val="24"/>
        </w:rPr>
        <w:t>Webshell</w:t>
      </w:r>
      <w:r>
        <w:rPr>
          <w:rFonts w:hint="eastAsia"/>
          <w:sz w:val="24"/>
        </w:rPr>
        <w:t>检测、</w:t>
      </w:r>
      <w:r>
        <w:rPr>
          <w:sz w:val="24"/>
        </w:rPr>
        <w:t>HTTP</w:t>
      </w:r>
      <w:r>
        <w:rPr>
          <w:rFonts w:hint="eastAsia"/>
          <w:sz w:val="24"/>
        </w:rPr>
        <w:t>协议违规。</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ind w:firstLine="600" w:firstLineChars="250"/>
        <w:rPr>
          <w:sz w:val="24"/>
        </w:rPr>
      </w:pPr>
      <w:r>
        <w:rPr>
          <w:rFonts w:hint="eastAsia"/>
          <w:sz w:val="24"/>
        </w:rPr>
        <w:t>需提供</w:t>
      </w:r>
      <w:r>
        <w:rPr>
          <w:sz w:val="24"/>
        </w:rPr>
        <w:t>DNS</w:t>
      </w:r>
      <w:r>
        <w:rPr>
          <w:rFonts w:hint="eastAsia"/>
          <w:sz w:val="24"/>
        </w:rPr>
        <w:t>防火墙功能。支持</w:t>
      </w:r>
      <w:r>
        <w:rPr>
          <w:sz w:val="24"/>
        </w:rPr>
        <w:t>DNS</w:t>
      </w:r>
      <w:r>
        <w:rPr>
          <w:rFonts w:hint="eastAsia"/>
          <w:sz w:val="24"/>
        </w:rPr>
        <w:t>安全认证，兼容</w:t>
      </w:r>
      <w:r>
        <w:rPr>
          <w:sz w:val="24"/>
        </w:rPr>
        <w:t>IETF</w:t>
      </w:r>
      <w:r>
        <w:rPr>
          <w:rFonts w:hint="eastAsia"/>
          <w:sz w:val="24"/>
        </w:rPr>
        <w:t>提供的国际标准</w:t>
      </w:r>
      <w:r>
        <w:rPr>
          <w:sz w:val="24"/>
        </w:rPr>
        <w:t xml:space="preserve">DNS </w:t>
      </w:r>
      <w:r>
        <w:rPr>
          <w:rFonts w:hint="eastAsia"/>
          <w:sz w:val="24"/>
        </w:rPr>
        <w:t>安全扩展</w:t>
      </w:r>
      <w:r>
        <w:rPr>
          <w:sz w:val="24"/>
        </w:rPr>
        <w:t xml:space="preserve"> (DNS Security Extensions, DNSSEC)</w:t>
      </w:r>
      <w:r>
        <w:rPr>
          <w:rFonts w:hint="eastAsia"/>
          <w:sz w:val="24"/>
        </w:rPr>
        <w:t>。支持</w:t>
      </w:r>
      <w:r>
        <w:rPr>
          <w:sz w:val="24"/>
        </w:rPr>
        <w:t>DNS</w:t>
      </w:r>
      <w:r>
        <w:rPr>
          <w:rFonts w:hint="eastAsia"/>
          <w:sz w:val="24"/>
        </w:rPr>
        <w:t>协议漏洞攻击、</w:t>
      </w:r>
      <w:r>
        <w:rPr>
          <w:sz w:val="24"/>
        </w:rPr>
        <w:t>DNS</w:t>
      </w:r>
      <w:r>
        <w:rPr>
          <w:rFonts w:hint="eastAsia"/>
          <w:sz w:val="24"/>
        </w:rPr>
        <w:t>反射放大攻击、</w:t>
      </w:r>
      <w:r>
        <w:rPr>
          <w:sz w:val="24"/>
        </w:rPr>
        <w:t>DNS</w:t>
      </w:r>
      <w:r>
        <w:rPr>
          <w:rFonts w:hint="eastAsia"/>
          <w:sz w:val="24"/>
        </w:rPr>
        <w:t>投毒攻击防护，保障智能</w:t>
      </w:r>
      <w:r>
        <w:rPr>
          <w:sz w:val="24"/>
        </w:rPr>
        <w:t>DNS</w:t>
      </w:r>
      <w:r>
        <w:rPr>
          <w:rFonts w:hint="eastAsia"/>
          <w:sz w:val="24"/>
        </w:rPr>
        <w:t>解析过程的安全性和可靠性。</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ind w:firstLine="600" w:firstLineChars="250"/>
        <w:rPr>
          <w:sz w:val="24"/>
        </w:rPr>
      </w:pPr>
      <w:r>
        <w:rPr>
          <w:rFonts w:hint="eastAsia"/>
          <w:sz w:val="24"/>
        </w:rPr>
        <w:t>需提供漏洞扫描功能。设备内置漏洞特征库，可针对应用服务器或者整个</w:t>
      </w:r>
      <w:r>
        <w:rPr>
          <w:sz w:val="24"/>
        </w:rPr>
        <w:t>IP</w:t>
      </w:r>
      <w:r>
        <w:rPr>
          <w:rFonts w:hint="eastAsia"/>
          <w:sz w:val="24"/>
        </w:rPr>
        <w:t>网段进行定向扫描分析，发现服务器操作系统漏洞并生成漏洞分析报告。</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ind w:firstLine="240" w:firstLineChars="100"/>
        <w:rPr>
          <w:rFonts w:hint="eastAsia"/>
          <w:sz w:val="24"/>
        </w:rPr>
      </w:pPr>
      <w:r>
        <w:rPr>
          <w:rFonts w:hint="eastAsia"/>
          <w:sz w:val="24"/>
        </w:rPr>
        <w:t>6.1.8高可用性：无论是面向多数据中心的全局访问调度，还是针对多链路和服务器群的负载均衡，负载均衡设备都扮演着一个关键的控制节点角色，其设备的稳定性和安全性则直接影响到业务交付网络的可用性。为了避免单点故障的隐患，采用双机热备是保证业务连续性的一种有效解决方案，能够在很大程度上避免了网络业务的中断，设备需提供</w:t>
      </w:r>
      <w:r>
        <w:rPr>
          <w:sz w:val="24"/>
        </w:rPr>
        <w:t>CSS</w:t>
      </w:r>
      <w:r>
        <w:rPr>
          <w:rFonts w:hint="eastAsia"/>
          <w:sz w:val="24"/>
        </w:rPr>
        <w:t>加速功能，支持内嵌</w:t>
      </w:r>
      <w:r>
        <w:rPr>
          <w:sz w:val="24"/>
        </w:rPr>
        <w:t>CSS,</w:t>
      </w:r>
      <w:r>
        <w:rPr>
          <w:rFonts w:hint="eastAsia"/>
          <w:sz w:val="24"/>
        </w:rPr>
        <w:t>合并</w:t>
      </w:r>
      <w:r>
        <w:rPr>
          <w:sz w:val="24"/>
        </w:rPr>
        <w:t>CSS,</w:t>
      </w:r>
      <w:r>
        <w:rPr>
          <w:rFonts w:hint="eastAsia"/>
          <w:sz w:val="24"/>
        </w:rPr>
        <w:t>最小化</w:t>
      </w:r>
      <w:r>
        <w:rPr>
          <w:sz w:val="24"/>
        </w:rPr>
        <w:t>CSS</w:t>
      </w:r>
      <w:r>
        <w:rPr>
          <w:rFonts w:hint="eastAsia"/>
          <w:sz w:val="24"/>
        </w:rPr>
        <w:t>，将</w:t>
      </w:r>
      <w:r>
        <w:rPr>
          <w:sz w:val="24"/>
        </w:rPr>
        <w:t>CSS</w:t>
      </w:r>
      <w:r>
        <w:rPr>
          <w:rFonts w:hint="eastAsia"/>
          <w:sz w:val="24"/>
        </w:rPr>
        <w:t>移动到</w:t>
      </w:r>
      <w:r>
        <w:rPr>
          <w:sz w:val="24"/>
        </w:rPr>
        <w:t>head</w:t>
      </w:r>
      <w:r>
        <w:rPr>
          <w:rFonts w:hint="eastAsia"/>
          <w:sz w:val="24"/>
        </w:rPr>
        <w:t>中，将</w:t>
      </w:r>
      <w:r>
        <w:rPr>
          <w:sz w:val="24"/>
        </w:rPr>
        <w:t>CSS</w:t>
      </w:r>
      <w:r>
        <w:rPr>
          <w:rFonts w:hint="eastAsia"/>
          <w:sz w:val="24"/>
        </w:rPr>
        <w:t>移动到</w:t>
      </w:r>
      <w:r>
        <w:rPr>
          <w:sz w:val="24"/>
        </w:rPr>
        <w:t>JS</w:t>
      </w:r>
      <w:r>
        <w:rPr>
          <w:rFonts w:hint="eastAsia"/>
          <w:sz w:val="24"/>
        </w:rPr>
        <w:t>前。提供</w:t>
      </w:r>
      <w:r>
        <w:rPr>
          <w:sz w:val="24"/>
        </w:rPr>
        <w:t>JavaScript</w:t>
      </w:r>
      <w:r>
        <w:rPr>
          <w:rFonts w:hint="eastAsia"/>
          <w:sz w:val="24"/>
        </w:rPr>
        <w:t>加速功能，支持内嵌</w:t>
      </w:r>
      <w:r>
        <w:rPr>
          <w:sz w:val="24"/>
        </w:rPr>
        <w:t>JS</w:t>
      </w:r>
      <w:r>
        <w:rPr>
          <w:rFonts w:hint="eastAsia"/>
          <w:sz w:val="24"/>
        </w:rPr>
        <w:t>，合并</w:t>
      </w:r>
      <w:r>
        <w:rPr>
          <w:sz w:val="24"/>
        </w:rPr>
        <w:t>JS</w:t>
      </w:r>
      <w:r>
        <w:rPr>
          <w:rFonts w:hint="eastAsia"/>
          <w:sz w:val="24"/>
        </w:rPr>
        <w:t>，最小化</w:t>
      </w:r>
      <w:r>
        <w:rPr>
          <w:sz w:val="24"/>
        </w:rPr>
        <w:t>JS</w:t>
      </w:r>
      <w:r>
        <w:rPr>
          <w:rFonts w:hint="eastAsia"/>
          <w:sz w:val="24"/>
        </w:rPr>
        <w:t>。提供</w:t>
      </w:r>
      <w:r>
        <w:rPr>
          <w:sz w:val="24"/>
        </w:rPr>
        <w:t>HTML</w:t>
      </w:r>
      <w:r>
        <w:rPr>
          <w:rFonts w:hint="eastAsia"/>
          <w:sz w:val="24"/>
        </w:rPr>
        <w:t>加速功能，支持去除空白，去除注释。提供图片加速功能，转换图片格式。</w:t>
      </w:r>
      <w:r>
        <w:rPr>
          <w:rFonts w:hint="eastAsia"/>
          <w:sz w:val="24"/>
          <w:lang w:eastAsia="zh-CN"/>
        </w:rPr>
        <w:t>（</w:t>
      </w:r>
      <w:r>
        <w:rPr>
          <w:rFonts w:hint="eastAsia"/>
          <w:sz w:val="24"/>
        </w:rPr>
        <w:t>提供产品的相关功能界面截图证明</w:t>
      </w:r>
      <w:r>
        <w:rPr>
          <w:rFonts w:hint="eastAsia"/>
          <w:sz w:val="24"/>
          <w:lang w:eastAsia="zh-CN"/>
        </w:rPr>
        <w:t>）</w:t>
      </w:r>
    </w:p>
    <w:p>
      <w:pPr>
        <w:spacing w:line="360" w:lineRule="auto"/>
        <w:rPr>
          <w:rFonts w:hint="eastAsia"/>
          <w:sz w:val="24"/>
        </w:rPr>
      </w:pPr>
      <w:r>
        <w:rPr>
          <w:rFonts w:hint="eastAsia"/>
          <w:sz w:val="24"/>
        </w:rPr>
        <w:t xml:space="preserve">     主备模式：两台负载均衡设备部署在网络中，在此种模式下通常把正在执行负载均衡调度的负载均衡设备称为主机，而另一台处于待命状态的负载均衡设备则称为备机。主机在处理业务的同时，会将业务产生的会话信息同步到备机，从而确保双机切换后，新发起的业务访问能继续得到响应处理，当前正在进行的业务访问也不会因此而中断。此种模式适合于大多数网络环境中避免单点故障的部署需求。</w:t>
      </w:r>
    </w:p>
    <w:p>
      <w:pPr>
        <w:spacing w:line="360" w:lineRule="auto"/>
        <w:rPr>
          <w:sz w:val="24"/>
        </w:rPr>
      </w:pPr>
      <w:r>
        <w:rPr>
          <w:rFonts w:hint="eastAsia"/>
          <w:sz w:val="24"/>
        </w:rPr>
        <w:t xml:space="preserve">     集群模式：通过多台负载均衡设备组成集群的方式，即可以扩容整个系统的处理性能，并且充分利用集群中的每一台设备，发布不同的服务，同时又能互为备份，保证故障发生时的最小业务中断。即只要集群中仍有一台设备可用，就不会导致任何一个服务停摆。在此基础上，实现均衡的故障切换和动态切换机制。</w:t>
      </w:r>
    </w:p>
    <w:p>
      <w:pPr>
        <w:spacing w:line="360" w:lineRule="auto"/>
        <w:ind w:firstLine="480" w:firstLineChars="200"/>
        <w:rPr>
          <w:sz w:val="24"/>
        </w:rPr>
      </w:pPr>
    </w:p>
    <w:p>
      <w:pPr>
        <w:spacing w:line="360" w:lineRule="auto"/>
        <w:rPr>
          <w:sz w:val="24"/>
        </w:rPr>
      </w:pPr>
    </w:p>
    <w:p>
      <w:pPr>
        <w:spacing w:line="360" w:lineRule="auto"/>
        <w:rPr>
          <w:b/>
          <w:sz w:val="24"/>
        </w:rPr>
      </w:pPr>
      <w:r>
        <w:rPr>
          <w:rFonts w:hint="eastAsia"/>
          <w:b/>
          <w:sz w:val="24"/>
        </w:rPr>
        <w:t>7.  技术服务：</w:t>
      </w:r>
    </w:p>
    <w:p>
      <w:pPr>
        <w:spacing w:line="360" w:lineRule="auto"/>
        <w:rPr>
          <w:sz w:val="24"/>
        </w:rPr>
      </w:pPr>
      <w:r>
        <w:rPr>
          <w:rFonts w:hint="eastAsia"/>
          <w:sz w:val="24"/>
        </w:rPr>
        <w:t>7.1 设备安装调试（请参考总则第2.4条）</w:t>
      </w:r>
    </w:p>
    <w:p>
      <w:pPr>
        <w:spacing w:line="360" w:lineRule="auto"/>
        <w:ind w:firstLine="240" w:firstLineChars="100"/>
        <w:rPr>
          <w:sz w:val="24"/>
        </w:rPr>
      </w:pPr>
      <w:r>
        <w:rPr>
          <w:rFonts w:hint="eastAsia"/>
          <w:sz w:val="24"/>
        </w:rPr>
        <w:t>7.1.1配置准备：在配置网关之前，请确认该电脑的网页浏览器（支持 IE7-IE11，以及火狐，goole，Safari（苹果自带浏览器））能正常使用，然后把电脑与负载均衡设备连接在同一个局域网内，通过网络对设备进行配置；</w:t>
      </w:r>
    </w:p>
    <w:p>
      <w:pPr>
        <w:spacing w:line="360" w:lineRule="auto"/>
        <w:ind w:firstLine="240" w:firstLineChars="100"/>
        <w:rPr>
          <w:sz w:val="24"/>
        </w:rPr>
      </w:pPr>
      <w:r>
        <w:rPr>
          <w:rFonts w:hint="eastAsia"/>
          <w:sz w:val="24"/>
        </w:rPr>
        <w:t>7.1.2设备连接：在背板上连接电源线，打开电源开关，此时负载均衡设备面板的 Power 灯（绿色，电源指示灯）和Alarm 灯（红色，告警灯）会点亮。大约 1-2 分钟后 Alarm 灯熄灭，说明设备正常工作；请用标准的 RJ-45 以太网线将定义为 LAN 口的网口与内部局域网连接。</w:t>
      </w:r>
    </w:p>
    <w:p>
      <w:pPr>
        <w:spacing w:line="360" w:lineRule="auto"/>
        <w:ind w:firstLine="240" w:firstLineChars="100"/>
        <w:rPr>
          <w:sz w:val="24"/>
        </w:rPr>
      </w:pPr>
      <w:r>
        <w:rPr>
          <w:rFonts w:hint="eastAsia"/>
          <w:sz w:val="24"/>
        </w:rPr>
        <w:t>7.1.3网络部署：负载均衡部署到网络中，无论哪种部署方式一般都是跟核心相连接，跟核心相连接的接口可以是：普通网口、聚合口（哈希、轮询、802.3ad、冗余双网卡）、端口桥接或者 vlan子接口；如果内网跑动态路由或者静态路由，设备上也可以随着跑动态（OSPF、BGP、RIP）或者静态路由。</w:t>
      </w:r>
    </w:p>
    <w:p>
      <w:pPr>
        <w:spacing w:line="360" w:lineRule="auto"/>
        <w:ind w:firstLine="240" w:firstLineChars="100"/>
        <w:rPr>
          <w:sz w:val="24"/>
        </w:rPr>
      </w:pPr>
      <w:r>
        <w:rPr>
          <w:rFonts w:hint="eastAsia"/>
          <w:sz w:val="24"/>
        </w:rPr>
        <w:t>7.1.4设备上架：机器安装进入机柜之中，上架安装过程中，注意同一机柜中其它设备，避免在安装过程中碰掉其他设备的电源，网线接口等。</w:t>
      </w:r>
    </w:p>
    <w:p>
      <w:pPr>
        <w:spacing w:line="360" w:lineRule="auto"/>
        <w:rPr>
          <w:sz w:val="24"/>
        </w:rPr>
      </w:pPr>
      <w:r>
        <w:rPr>
          <w:rFonts w:hint="eastAsia"/>
          <w:sz w:val="24"/>
        </w:rPr>
        <w:t>7.2  技术培训 (请参考总则第2.5条)</w:t>
      </w:r>
    </w:p>
    <w:p>
      <w:pPr>
        <w:pStyle w:val="2"/>
        <w:spacing w:line="360" w:lineRule="auto"/>
        <w:ind w:firstLine="240" w:firstLineChars="100"/>
        <w:rPr>
          <w:sz w:val="24"/>
        </w:rPr>
      </w:pPr>
      <w:r>
        <w:rPr>
          <w:rFonts w:hint="eastAsia"/>
          <w:sz w:val="24"/>
        </w:rPr>
        <w:t>7.2.1安装时必须有原厂工程师配合安装，并针对该机器使用方法和注意事项进行技术指导和培训，直到设备正常使用，工程师完全可操作为止。</w:t>
      </w:r>
    </w:p>
    <w:p>
      <w:pPr>
        <w:spacing w:line="360" w:lineRule="auto"/>
        <w:rPr>
          <w:sz w:val="24"/>
        </w:rPr>
      </w:pPr>
      <w:r>
        <w:rPr>
          <w:rFonts w:hint="eastAsia"/>
          <w:sz w:val="24"/>
        </w:rPr>
        <w:t>7.3 保修期：3年保修</w:t>
      </w:r>
    </w:p>
    <w:p>
      <w:pPr>
        <w:spacing w:line="360" w:lineRule="auto"/>
        <w:rPr>
          <w:sz w:val="24"/>
        </w:rPr>
      </w:pPr>
      <w:r>
        <w:rPr>
          <w:rFonts w:hint="eastAsia"/>
          <w:sz w:val="24"/>
        </w:rPr>
        <w:t>7.4 维修响应时间：工作日8:00～17:30时段1小时内赶到用户现场处理；节假日或其他时段4小时内到达现场；提供7×24小时的电话咨询服务，并安排有技术人员解答使用中遇到的疑难</w:t>
      </w:r>
    </w:p>
    <w:p>
      <w:pPr>
        <w:spacing w:line="360" w:lineRule="auto"/>
        <w:rPr>
          <w:sz w:val="24"/>
        </w:rPr>
      </w:pPr>
      <w:r>
        <w:rPr>
          <w:rFonts w:hint="eastAsia"/>
          <w:sz w:val="24"/>
        </w:rPr>
        <w:t>7.5 要求卖方提供的其它技术服务内容（如软、硬件升级要求等）</w:t>
      </w:r>
    </w:p>
    <w:p>
      <w:pPr>
        <w:spacing w:line="360" w:lineRule="auto"/>
        <w:ind w:firstLine="480" w:firstLineChars="200"/>
        <w:rPr>
          <w:rFonts w:hint="eastAsia" w:ascii="宋体"/>
          <w:sz w:val="24"/>
        </w:rPr>
      </w:pPr>
      <w:r>
        <w:rPr>
          <w:rFonts w:hint="eastAsia" w:ascii="宋体"/>
          <w:sz w:val="24"/>
        </w:rPr>
        <w:t>︰提供原厂3年软件升级和硬件质保。</w:t>
      </w:r>
    </w:p>
    <w:p>
      <w:pPr>
        <w:spacing w:line="360" w:lineRule="auto"/>
        <w:ind w:firstLine="480" w:firstLineChars="200"/>
        <w:rPr>
          <w:rFonts w:hint="eastAsia" w:ascii="宋体"/>
          <w:sz w:val="24"/>
        </w:rPr>
      </w:pPr>
    </w:p>
    <w:p>
      <w:pPr>
        <w:spacing w:line="360" w:lineRule="auto"/>
        <w:rPr>
          <w:b/>
          <w:sz w:val="24"/>
        </w:rPr>
      </w:pPr>
      <w:r>
        <w:rPr>
          <w:rFonts w:hint="eastAsia"/>
          <w:b/>
          <w:sz w:val="24"/>
        </w:rPr>
        <w:t>8. 订货数量：</w:t>
      </w:r>
    </w:p>
    <w:p>
      <w:pPr>
        <w:spacing w:line="360" w:lineRule="auto"/>
        <w:rPr>
          <w:rFonts w:hint="eastAsia"/>
          <w:sz w:val="24"/>
        </w:rPr>
      </w:pPr>
      <w:r>
        <w:rPr>
          <w:rFonts w:hint="eastAsia"/>
          <w:sz w:val="24"/>
        </w:rPr>
        <w:t>负载均衡设备  1台</w:t>
      </w:r>
    </w:p>
    <w:p>
      <w:pPr>
        <w:spacing w:line="360" w:lineRule="auto"/>
        <w:rPr>
          <w:rFonts w:hint="eastAsia"/>
          <w:sz w:val="24"/>
        </w:rPr>
      </w:pPr>
    </w:p>
    <w:p>
      <w:pPr>
        <w:spacing w:line="360" w:lineRule="auto"/>
        <w:rPr>
          <w:b/>
          <w:sz w:val="24"/>
        </w:rPr>
      </w:pPr>
      <w:r>
        <w:rPr>
          <w:rFonts w:hint="eastAsia"/>
          <w:b/>
          <w:sz w:val="24"/>
        </w:rPr>
        <w:t>9. 交货地点：</w:t>
      </w:r>
    </w:p>
    <w:p>
      <w:pPr>
        <w:spacing w:line="360" w:lineRule="auto"/>
        <w:rPr>
          <w:rFonts w:hint="eastAsia"/>
          <w:sz w:val="24"/>
        </w:rPr>
      </w:pPr>
      <w:r>
        <w:rPr>
          <w:rFonts w:hint="eastAsia"/>
          <w:sz w:val="24"/>
        </w:rPr>
        <w:t>广州市南沙区南沙街资讯科技园海滨路1119号中科院南海所</w:t>
      </w:r>
    </w:p>
    <w:p>
      <w:pPr>
        <w:spacing w:line="360" w:lineRule="auto"/>
        <w:rPr>
          <w:rFonts w:hint="eastAsia"/>
          <w:sz w:val="24"/>
        </w:rPr>
      </w:pPr>
    </w:p>
    <w:p>
      <w:pPr>
        <w:spacing w:line="360" w:lineRule="auto"/>
        <w:rPr>
          <w:b/>
          <w:sz w:val="24"/>
        </w:rPr>
      </w:pPr>
      <w:r>
        <w:rPr>
          <w:rFonts w:hint="eastAsia"/>
          <w:b/>
          <w:sz w:val="24"/>
        </w:rPr>
        <w:t>10. 交货日期：</w:t>
      </w:r>
    </w:p>
    <w:p>
      <w:pPr>
        <w:spacing w:line="360" w:lineRule="auto"/>
        <w:rPr>
          <w:sz w:val="24"/>
        </w:rPr>
      </w:pPr>
      <w:r>
        <w:rPr>
          <w:rFonts w:hint="eastAsia"/>
          <w:sz w:val="24"/>
        </w:rPr>
        <w:t>合同签订生效后15天内。</w:t>
      </w:r>
    </w:p>
    <w:p>
      <w:pPr>
        <w:spacing w:line="360" w:lineRule="auto"/>
        <w:rPr>
          <w:sz w:val="24"/>
        </w:rPr>
      </w:pPr>
    </w:p>
    <w:p>
      <w:pPr>
        <w:spacing w:line="360" w:lineRule="auto"/>
        <w:rPr>
          <w:b/>
          <w:sz w:val="24"/>
        </w:rPr>
      </w:pPr>
      <w:r>
        <w:rPr>
          <w:rFonts w:hint="eastAsia"/>
          <w:b/>
          <w:sz w:val="24"/>
        </w:rPr>
        <w:t>11．执行的相关标准</w:t>
      </w:r>
    </w:p>
    <w:p>
      <w:pPr>
        <w:spacing w:line="360" w:lineRule="auto"/>
        <w:rPr>
          <w:rFonts w:hint="eastAsia" w:ascii="宋体" w:hAnsi="宋体"/>
          <w:b/>
          <w:color w:val="000000"/>
          <w:sz w:val="24"/>
        </w:rPr>
      </w:pPr>
      <w:r>
        <w:rPr>
          <w:rFonts w:hint="eastAsia" w:ascii="inherit" w:hAnsi="inherit" w:cs="宋体"/>
          <w:kern w:val="0"/>
          <w:sz w:val="24"/>
        </w:rPr>
        <w:t>无</w:t>
      </w:r>
    </w:p>
    <w:p>
      <w:bookmarkStart w:id="0" w:name="_GoBack"/>
      <w:bookmarkEnd w:id="0"/>
    </w:p>
    <w:sectPr>
      <w:footerReference r:id="rId3" w:type="default"/>
      <w:footerReference r:id="rId4"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23</w:t>
    </w:r>
    <w:r>
      <w:fldChar w:fldCharType="end"/>
    </w:r>
  </w:p>
  <w:p>
    <w:pPr>
      <w:pStyle w:val="3"/>
      <w:jc w:val="right"/>
    </w:pPr>
    <w:r>
      <w:rPr>
        <w:rStyle w:val="5"/>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B42B3"/>
    <w:multiLevelType w:val="multilevel"/>
    <w:tmpl w:val="4E5B42B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B42F6"/>
    <w:rsid w:val="324B42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szCs w:val="20"/>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2019-07-01T12:22:00Z</dcterms:created>
  <dc:creator>自由旅行者</dc:creator>
  <cp:lastModifiedBy>自由旅行者</cp:lastModifiedBy>
  <dcterms:modified xsi:type="dcterms:W3CDTF">2019-07-01T12:22:30Z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